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5BA30" w14:textId="77777777" w:rsidR="00924EA5" w:rsidRDefault="00745B78">
      <w:pPr>
        <w:spacing w:line="276" w:lineRule="auto"/>
        <w:jc w:val="center"/>
        <w:rPr>
          <w:rFonts w:ascii="Century Gothic" w:hAnsi="Century Gothic"/>
          <w:b/>
          <w:spacing w:val="12"/>
          <w:sz w:val="26"/>
          <w:szCs w:val="26"/>
          <w:lang w:val="en-US"/>
        </w:rPr>
      </w:pPr>
      <w:r>
        <w:rPr>
          <w:rFonts w:ascii="Century Gothic" w:hAnsi="Century Gothic"/>
          <w:b/>
          <w:spacing w:val="12"/>
          <w:sz w:val="26"/>
          <w:szCs w:val="26"/>
          <w:lang w:val="en-US"/>
        </w:rPr>
        <w:t>Study Visit  to ECC Italy</w:t>
      </w:r>
    </w:p>
    <w:p w14:paraId="4435BA31" w14:textId="77777777" w:rsidR="00924EA5" w:rsidRDefault="00924EA5">
      <w:pPr>
        <w:spacing w:line="276" w:lineRule="auto"/>
        <w:jc w:val="center"/>
        <w:rPr>
          <w:rFonts w:ascii="Century Gothic" w:hAnsi="Century Gothic"/>
          <w:spacing w:val="12"/>
          <w:sz w:val="26"/>
          <w:szCs w:val="26"/>
          <w:lang w:val="en-US"/>
        </w:rPr>
      </w:pPr>
    </w:p>
    <w:p w14:paraId="4435BA32" w14:textId="77777777" w:rsidR="00924EA5" w:rsidRDefault="00745B78">
      <w:pPr>
        <w:spacing w:line="276" w:lineRule="auto"/>
        <w:jc w:val="center"/>
        <w:rPr>
          <w:rFonts w:ascii="Century Gothic" w:hAnsi="Century Gothic"/>
          <w:spacing w:val="12"/>
          <w:sz w:val="26"/>
          <w:szCs w:val="26"/>
          <w:lang w:val="en-US"/>
        </w:rPr>
      </w:pPr>
      <w:r>
        <w:rPr>
          <w:rFonts w:ascii="Century Gothic" w:hAnsi="Century Gothic"/>
          <w:spacing w:val="12"/>
          <w:sz w:val="26"/>
          <w:szCs w:val="26"/>
          <w:lang w:val="en-US"/>
        </w:rPr>
        <w:t>Rome, 26</w:t>
      </w:r>
      <w:r>
        <w:rPr>
          <w:rFonts w:ascii="Century Gothic" w:hAnsi="Century Gothic"/>
          <w:spacing w:val="12"/>
          <w:sz w:val="26"/>
          <w:szCs w:val="26"/>
          <w:vertAlign w:val="superscript"/>
          <w:lang w:val="en-US"/>
        </w:rPr>
        <w:t>th</w:t>
      </w:r>
      <w:r>
        <w:rPr>
          <w:rFonts w:ascii="Century Gothic" w:hAnsi="Century Gothic"/>
          <w:spacing w:val="12"/>
          <w:sz w:val="26"/>
          <w:szCs w:val="26"/>
          <w:lang w:val="en-US"/>
        </w:rPr>
        <w:t xml:space="preserve"> &amp; 27</w:t>
      </w:r>
      <w:r>
        <w:rPr>
          <w:rFonts w:ascii="Century Gothic" w:hAnsi="Century Gothic"/>
          <w:spacing w:val="12"/>
          <w:sz w:val="26"/>
          <w:szCs w:val="26"/>
          <w:vertAlign w:val="superscript"/>
          <w:lang w:val="en-US"/>
        </w:rPr>
        <w:t xml:space="preserve">th  </w:t>
      </w:r>
      <w:r>
        <w:rPr>
          <w:rFonts w:ascii="Century Gothic" w:hAnsi="Century Gothic"/>
          <w:spacing w:val="12"/>
          <w:sz w:val="26"/>
          <w:szCs w:val="26"/>
          <w:lang w:val="en-US"/>
        </w:rPr>
        <w:t>September 2024</w:t>
      </w:r>
    </w:p>
    <w:p w14:paraId="4435BA33" w14:textId="77777777" w:rsidR="00924EA5" w:rsidRDefault="00924EA5">
      <w:pPr>
        <w:spacing w:line="276" w:lineRule="auto"/>
        <w:ind w:left="2124" w:firstLine="708"/>
        <w:rPr>
          <w:rFonts w:ascii="Helvetica" w:hAnsi="Helvetica"/>
          <w:spacing w:val="12"/>
          <w:lang w:val="en-US"/>
        </w:rPr>
      </w:pPr>
    </w:p>
    <w:p w14:paraId="4435BA34" w14:textId="77777777" w:rsidR="00924EA5" w:rsidRDefault="00745B78">
      <w:pPr>
        <w:widowControl w:val="0"/>
        <w:spacing w:line="276" w:lineRule="auto"/>
        <w:rPr>
          <w:rFonts w:ascii="Century Gothic" w:hAnsi="Century Gothic"/>
          <w:spacing w:val="12"/>
          <w:sz w:val="22"/>
          <w:szCs w:val="22"/>
          <w:lang w:val="en-GB"/>
        </w:rPr>
      </w:pPr>
      <w:r>
        <w:rPr>
          <w:rFonts w:ascii="Century Gothic" w:hAnsi="Century Gothic"/>
          <w:spacing w:val="12"/>
          <w:sz w:val="22"/>
          <w:szCs w:val="22"/>
          <w:lang w:val="en-US"/>
        </w:rPr>
        <w:t xml:space="preserve">Venue:     Villa Lubin - </w:t>
      </w:r>
      <w:r>
        <w:rPr>
          <w:rFonts w:ascii="Century Gothic" w:hAnsi="Century Gothic"/>
          <w:spacing w:val="12"/>
          <w:sz w:val="22"/>
          <w:szCs w:val="22"/>
          <w:lang w:val="en-GB"/>
        </w:rPr>
        <w:t>National Council for Economics and Labour’s premises</w:t>
      </w:r>
    </w:p>
    <w:p w14:paraId="4435BA35" w14:textId="77777777" w:rsidR="00924EA5" w:rsidRDefault="00924EA5">
      <w:pPr>
        <w:widowControl w:val="0"/>
        <w:spacing w:line="276" w:lineRule="auto"/>
        <w:rPr>
          <w:rFonts w:ascii="Century Gothic" w:hAnsi="Century Gothic"/>
          <w:spacing w:val="12"/>
          <w:sz w:val="22"/>
          <w:szCs w:val="22"/>
          <w:lang w:val="en-US"/>
        </w:rPr>
      </w:pPr>
    </w:p>
    <w:p w14:paraId="4435BA36" w14:textId="77777777" w:rsidR="00924EA5" w:rsidRDefault="00745B78">
      <w:pPr>
        <w:widowControl w:val="0"/>
        <w:spacing w:line="276" w:lineRule="auto"/>
        <w:rPr>
          <w:rFonts w:ascii="Century Gothic" w:hAnsi="Century Gothic"/>
          <w:spacing w:val="12"/>
          <w:sz w:val="22"/>
          <w:szCs w:val="22"/>
          <w:lang w:val="en-GB"/>
        </w:rPr>
      </w:pPr>
      <w:r>
        <w:rPr>
          <w:rFonts w:ascii="Century Gothic" w:hAnsi="Century Gothic"/>
          <w:spacing w:val="12"/>
          <w:sz w:val="22"/>
          <w:szCs w:val="22"/>
          <w:lang w:val="en-GB"/>
        </w:rPr>
        <w:t xml:space="preserve">Andress:   Viale David Lubin, 2 - 00196 Rome </w:t>
      </w:r>
    </w:p>
    <w:p w14:paraId="4435BA37" w14:textId="77777777" w:rsidR="00924EA5" w:rsidRDefault="00924EA5">
      <w:pPr>
        <w:widowControl w:val="0"/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</w:p>
    <w:p w14:paraId="4435BA38" w14:textId="77777777" w:rsidR="00924EA5" w:rsidRDefault="00745B78">
      <w:pPr>
        <w:pStyle w:val="Default"/>
        <w:jc w:val="center"/>
        <w:rPr>
          <w:rFonts w:ascii="Century Gothic" w:hAnsi="Century Gothic" w:cs="Verdana"/>
          <w:b/>
          <w:spacing w:val="12"/>
          <w:sz w:val="26"/>
          <w:szCs w:val="26"/>
          <w:lang w:val="en-GB"/>
        </w:rPr>
      </w:pPr>
      <w:r>
        <w:rPr>
          <w:rFonts w:ascii="Century Gothic" w:hAnsi="Century Gothic" w:cs="Verdana"/>
          <w:b/>
          <w:noProof/>
          <w:spacing w:val="12"/>
          <w:sz w:val="26"/>
          <w:szCs w:val="26"/>
          <w:lang w:val="en-GB"/>
        </w:rPr>
        <w:drawing>
          <wp:anchor distT="0" distB="0" distL="114300" distR="114300" simplePos="0" relativeHeight="4" behindDoc="1" locked="0" layoutInCell="1" allowOverlap="1" wp14:anchorId="4435BA70" wp14:editId="4435BA71">
            <wp:simplePos x="0" y="0"/>
            <wp:positionH relativeFrom="column">
              <wp:posOffset>-1000760</wp:posOffset>
            </wp:positionH>
            <wp:positionV relativeFrom="paragraph">
              <wp:posOffset>148590</wp:posOffset>
            </wp:positionV>
            <wp:extent cx="7560310" cy="6631940"/>
            <wp:effectExtent l="0" t="0" r="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663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5BA39" w14:textId="77777777" w:rsidR="00924EA5" w:rsidRDefault="00745B78">
      <w:pPr>
        <w:pStyle w:val="Default"/>
        <w:jc w:val="center"/>
        <w:rPr>
          <w:rFonts w:ascii="Helvetica" w:hAnsi="Helvetica"/>
          <w:spacing w:val="12"/>
          <w:sz w:val="22"/>
          <w:szCs w:val="22"/>
          <w:lang w:val="en-US"/>
        </w:rPr>
      </w:pPr>
      <w:r>
        <w:rPr>
          <w:rFonts w:ascii="Century Gothic" w:hAnsi="Century Gothic" w:cs="Verdana"/>
          <w:b/>
          <w:spacing w:val="12"/>
          <w:sz w:val="26"/>
          <w:szCs w:val="26"/>
          <w:lang w:val="en-US"/>
        </w:rPr>
        <w:t>Agenda</w:t>
      </w:r>
    </w:p>
    <w:p w14:paraId="4435BA3A" w14:textId="77777777" w:rsidR="00924EA5" w:rsidRDefault="00924EA5">
      <w:pPr>
        <w:widowControl w:val="0"/>
        <w:rPr>
          <w:rFonts w:ascii="Century Gothic" w:hAnsi="Century Gothic" w:cs="Verdana"/>
          <w:spacing w:val="12"/>
          <w:sz w:val="22"/>
          <w:szCs w:val="22"/>
          <w:lang w:val="en-US"/>
        </w:rPr>
      </w:pPr>
    </w:p>
    <w:p w14:paraId="4435BA3B" w14:textId="77777777" w:rsidR="00924EA5" w:rsidRDefault="00745B78">
      <w:pPr>
        <w:widowControl w:val="0"/>
        <w:rPr>
          <w:rFonts w:ascii="Century Gothic" w:hAnsi="Century Gothic" w:cs="Verdana"/>
          <w:spacing w:val="12"/>
          <w:sz w:val="22"/>
          <w:szCs w:val="22"/>
          <w:lang w:val="en-US"/>
        </w:rPr>
      </w:pPr>
      <w:r>
        <w:rPr>
          <w:rFonts w:ascii="Century Gothic" w:hAnsi="Century Gothic" w:cs="Verdana"/>
          <w:spacing w:val="12"/>
          <w:sz w:val="22"/>
          <w:szCs w:val="22"/>
          <w:lang w:val="en-US"/>
        </w:rPr>
        <w:t>Day 1</w:t>
      </w:r>
    </w:p>
    <w:p w14:paraId="4435BA3C" w14:textId="77777777" w:rsidR="00924EA5" w:rsidRDefault="00924EA5">
      <w:pPr>
        <w:widowControl w:val="0"/>
        <w:rPr>
          <w:rFonts w:ascii="Century Gothic" w:hAnsi="Century Gothic" w:cs="Verdana"/>
          <w:spacing w:val="12"/>
          <w:sz w:val="22"/>
          <w:szCs w:val="22"/>
          <w:lang w:val="en-US"/>
        </w:rPr>
      </w:pPr>
    </w:p>
    <w:p w14:paraId="4435BA3D" w14:textId="77777777" w:rsidR="00924EA5" w:rsidRDefault="00745B78">
      <w:pPr>
        <w:widowControl w:val="0"/>
        <w:spacing w:line="276" w:lineRule="auto"/>
        <w:ind w:left="851" w:hanging="851"/>
        <w:rPr>
          <w:rFonts w:ascii="Century Gothic" w:hAnsi="Century Gothic" w:cs="Verdana"/>
          <w:spacing w:val="12"/>
          <w:sz w:val="22"/>
          <w:szCs w:val="22"/>
          <w:lang w:val="en-US"/>
        </w:rPr>
      </w:pPr>
      <w:r>
        <w:rPr>
          <w:rFonts w:ascii="Century Gothic" w:hAnsi="Century Gothic" w:cs="Verdana"/>
          <w:spacing w:val="12"/>
          <w:sz w:val="22"/>
          <w:szCs w:val="22"/>
          <w:lang w:val="en-US"/>
        </w:rPr>
        <w:t xml:space="preserve">10.00   Welcoming note and introduction of ECC Italy team </w:t>
      </w:r>
    </w:p>
    <w:p w14:paraId="4435BA3E" w14:textId="77777777" w:rsidR="00924EA5" w:rsidRDefault="00924EA5">
      <w:pPr>
        <w:widowControl w:val="0"/>
        <w:spacing w:line="276" w:lineRule="auto"/>
        <w:rPr>
          <w:rFonts w:ascii="Century Gothic" w:hAnsi="Century Gothic" w:cs="Verdana"/>
          <w:spacing w:val="12"/>
          <w:sz w:val="22"/>
          <w:szCs w:val="22"/>
          <w:lang w:val="en-US"/>
        </w:rPr>
      </w:pPr>
    </w:p>
    <w:p w14:paraId="4435BA3F" w14:textId="77777777" w:rsidR="00924EA5" w:rsidRDefault="00745B78">
      <w:pPr>
        <w:widowControl w:val="0"/>
        <w:spacing w:line="276" w:lineRule="auto"/>
        <w:ind w:left="851" w:hanging="851"/>
        <w:rPr>
          <w:rFonts w:ascii="Century Gothic" w:hAnsi="Century Gothic" w:cs="Verdana"/>
          <w:spacing w:val="12"/>
          <w:sz w:val="22"/>
          <w:szCs w:val="22"/>
          <w:lang w:val="en-US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>10.15</w:t>
      </w: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ab/>
      </w:r>
      <w:r>
        <w:rPr>
          <w:rFonts w:ascii="Century Gothic" w:hAnsi="Century Gothic" w:cs="Verdana"/>
          <w:spacing w:val="12"/>
          <w:sz w:val="22"/>
          <w:szCs w:val="22"/>
          <w:lang w:val="en-US"/>
        </w:rPr>
        <w:t xml:space="preserve">ECC Italy general overview </w:t>
      </w:r>
    </w:p>
    <w:p w14:paraId="4435BA40" w14:textId="77777777" w:rsidR="00924EA5" w:rsidRDefault="00745B78">
      <w:pPr>
        <w:pStyle w:val="Paragrafoelenco"/>
        <w:widowControl w:val="0"/>
        <w:numPr>
          <w:ilvl w:val="0"/>
          <w:numId w:val="1"/>
        </w:numPr>
        <w:spacing w:line="276" w:lineRule="auto"/>
        <w:rPr>
          <w:rFonts w:ascii="Century Gothic" w:hAnsi="Century Gothic" w:cs="Verdana"/>
          <w:spacing w:val="12"/>
          <w:sz w:val="22"/>
          <w:szCs w:val="22"/>
          <w:lang w:val="en-GB"/>
        </w:rPr>
      </w:pPr>
      <w:r>
        <w:rPr>
          <w:rFonts w:ascii="Century Gothic" w:hAnsi="Century Gothic" w:cs="Verdana"/>
          <w:spacing w:val="12"/>
          <w:sz w:val="22"/>
          <w:szCs w:val="22"/>
          <w:lang w:val="en-GB"/>
        </w:rPr>
        <w:t>Presentation on ECC Italy’s structure, organization, and funding.</w:t>
      </w:r>
    </w:p>
    <w:p w14:paraId="4435BA41" w14:textId="77777777" w:rsidR="00924EA5" w:rsidRDefault="00745B78">
      <w:pPr>
        <w:pStyle w:val="Paragrafoelenco"/>
        <w:widowControl w:val="0"/>
        <w:numPr>
          <w:ilvl w:val="0"/>
          <w:numId w:val="1"/>
        </w:numPr>
        <w:spacing w:line="276" w:lineRule="auto"/>
        <w:rPr>
          <w:rFonts w:ascii="Century Gothic" w:hAnsi="Century Gothic" w:cs="Verdana"/>
          <w:spacing w:val="12"/>
          <w:sz w:val="22"/>
          <w:szCs w:val="22"/>
          <w:lang w:val="en-GB"/>
        </w:rPr>
      </w:pPr>
      <w:r>
        <w:rPr>
          <w:rFonts w:ascii="Century Gothic" w:hAnsi="Century Gothic" w:cs="Verdana"/>
          <w:spacing w:val="12"/>
          <w:sz w:val="22"/>
          <w:szCs w:val="22"/>
          <w:lang w:val="en-GB"/>
        </w:rPr>
        <w:t>Review of recent performance and key achievements.</w:t>
      </w:r>
    </w:p>
    <w:p w14:paraId="4435BA42" w14:textId="77777777" w:rsidR="00924EA5" w:rsidRDefault="00924EA5">
      <w:pPr>
        <w:widowControl w:val="0"/>
        <w:spacing w:line="276" w:lineRule="auto"/>
        <w:ind w:left="851" w:hanging="851"/>
        <w:rPr>
          <w:rFonts w:ascii="Century Gothic" w:hAnsi="Century Gothic" w:cs="Verdana"/>
          <w:spacing w:val="12"/>
          <w:sz w:val="22"/>
          <w:szCs w:val="22"/>
          <w:lang w:val="en-US"/>
        </w:rPr>
      </w:pPr>
    </w:p>
    <w:p w14:paraId="4435BA43" w14:textId="77777777" w:rsidR="00924EA5" w:rsidRDefault="00745B78">
      <w:pPr>
        <w:widowControl w:val="0"/>
        <w:spacing w:line="276" w:lineRule="auto"/>
        <w:rPr>
          <w:rFonts w:ascii="Century Gothic" w:hAnsi="Century Gothic" w:cs="Times New Roman"/>
          <w:spacing w:val="12"/>
          <w:sz w:val="22"/>
          <w:szCs w:val="22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 xml:space="preserve">10.45  </w:t>
      </w:r>
      <w:r>
        <w:rPr>
          <w:rFonts w:ascii="Century Gothic" w:hAnsi="Century Gothic" w:cs="Times New Roman"/>
          <w:spacing w:val="12"/>
          <w:sz w:val="22"/>
          <w:szCs w:val="22"/>
        </w:rPr>
        <w:t xml:space="preserve">Case-Handling </w:t>
      </w:r>
      <w:proofErr w:type="spellStart"/>
      <w:r>
        <w:rPr>
          <w:rFonts w:ascii="Century Gothic" w:hAnsi="Century Gothic" w:cs="Times New Roman"/>
          <w:spacing w:val="12"/>
          <w:sz w:val="22"/>
          <w:szCs w:val="22"/>
        </w:rPr>
        <w:t>Procedures</w:t>
      </w:r>
      <w:proofErr w:type="spellEnd"/>
    </w:p>
    <w:p w14:paraId="4435BA44" w14:textId="77777777" w:rsidR="00924EA5" w:rsidRDefault="00745B78">
      <w:pPr>
        <w:widowControl w:val="0"/>
        <w:numPr>
          <w:ilvl w:val="0"/>
          <w:numId w:val="2"/>
        </w:num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Overview of internal case-handling processes.</w:t>
      </w:r>
    </w:p>
    <w:p w14:paraId="4435BA45" w14:textId="77777777" w:rsidR="00924EA5" w:rsidRDefault="00745B78">
      <w:pPr>
        <w:widowControl w:val="0"/>
        <w:numPr>
          <w:ilvl w:val="0"/>
          <w:numId w:val="2"/>
        </w:num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Discussion on common cases and critical issues encountered.</w:t>
      </w:r>
    </w:p>
    <w:p w14:paraId="4435BA46" w14:textId="77777777" w:rsidR="00924EA5" w:rsidRDefault="00745B78">
      <w:pPr>
        <w:widowControl w:val="0"/>
        <w:numPr>
          <w:ilvl w:val="0"/>
          <w:numId w:val="2"/>
        </w:num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Focus on economic sectors of mutual concern, problematic trades, and best practices.</w:t>
      </w:r>
    </w:p>
    <w:p w14:paraId="4435BA47" w14:textId="77777777" w:rsidR="00924EA5" w:rsidRDefault="00924EA5">
      <w:pPr>
        <w:widowControl w:val="0"/>
        <w:spacing w:line="276" w:lineRule="auto"/>
        <w:rPr>
          <w:rFonts w:ascii="Century Gothic" w:hAnsi="Century Gothic" w:cs="Verdana"/>
          <w:spacing w:val="12"/>
          <w:sz w:val="22"/>
          <w:szCs w:val="22"/>
          <w:lang w:val="en-US"/>
        </w:rPr>
      </w:pPr>
    </w:p>
    <w:p w14:paraId="4435BA48" w14:textId="77777777" w:rsidR="00924EA5" w:rsidRDefault="00745B78">
      <w:pPr>
        <w:widowControl w:val="0"/>
        <w:spacing w:line="276" w:lineRule="auto"/>
        <w:rPr>
          <w:rFonts w:ascii="Century Gothic" w:hAnsi="Century Gothic" w:cs="Verdana"/>
          <w:spacing w:val="12"/>
          <w:sz w:val="22"/>
          <w:szCs w:val="22"/>
          <w:lang w:val="en-GB"/>
        </w:rPr>
      </w:pPr>
      <w:r>
        <w:rPr>
          <w:rFonts w:ascii="Century Gothic" w:hAnsi="Century Gothic" w:cs="Verdana"/>
          <w:spacing w:val="12"/>
          <w:sz w:val="22"/>
          <w:szCs w:val="22"/>
          <w:lang w:val="en-US"/>
        </w:rPr>
        <w:t xml:space="preserve">12.30  </w:t>
      </w:r>
      <w:r>
        <w:rPr>
          <w:rFonts w:ascii="Century Gothic" w:hAnsi="Century Gothic" w:cs="Verdana"/>
          <w:spacing w:val="12"/>
          <w:sz w:val="22"/>
          <w:szCs w:val="22"/>
          <w:lang w:val="en-GB"/>
        </w:rPr>
        <w:t>Consumer Satisfaction with ECC Services</w:t>
      </w:r>
    </w:p>
    <w:p w14:paraId="4435BA49" w14:textId="77777777" w:rsidR="00924EA5" w:rsidRDefault="00745B78">
      <w:pPr>
        <w:widowControl w:val="0"/>
        <w:numPr>
          <w:ilvl w:val="0"/>
          <w:numId w:val="3"/>
        </w:numPr>
        <w:spacing w:line="276" w:lineRule="auto"/>
        <w:rPr>
          <w:rFonts w:ascii="Century Gothic" w:hAnsi="Century Gothic" w:cs="Verdana"/>
          <w:spacing w:val="12"/>
          <w:sz w:val="22"/>
          <w:szCs w:val="22"/>
          <w:lang w:val="en-GB"/>
        </w:rPr>
      </w:pPr>
      <w:r>
        <w:rPr>
          <w:rFonts w:ascii="Century Gothic" w:hAnsi="Century Gothic" w:cs="Verdana"/>
          <w:spacing w:val="12"/>
          <w:sz w:val="22"/>
          <w:szCs w:val="22"/>
          <w:lang w:val="en-GB"/>
        </w:rPr>
        <w:t xml:space="preserve">Presentation of 2023 </w:t>
      </w:r>
      <w:r>
        <w:rPr>
          <w:rFonts w:ascii="Century Gothic" w:hAnsi="Century Gothic" w:cs="Verdana"/>
          <w:spacing w:val="12"/>
          <w:sz w:val="22"/>
          <w:szCs w:val="22"/>
          <w:lang w:val="en-GB"/>
        </w:rPr>
        <w:t>consumer satisfaction statistics.</w:t>
      </w:r>
    </w:p>
    <w:p w14:paraId="4435BA4A" w14:textId="77777777" w:rsidR="00924EA5" w:rsidRDefault="00745B78">
      <w:pPr>
        <w:widowControl w:val="0"/>
        <w:numPr>
          <w:ilvl w:val="0"/>
          <w:numId w:val="3"/>
        </w:numPr>
        <w:spacing w:line="276" w:lineRule="auto"/>
        <w:rPr>
          <w:rFonts w:ascii="Century Gothic" w:hAnsi="Century Gothic" w:cs="Verdana"/>
          <w:spacing w:val="12"/>
          <w:sz w:val="22"/>
          <w:szCs w:val="22"/>
          <w:lang w:val="en-GB"/>
        </w:rPr>
      </w:pPr>
      <w:r>
        <w:rPr>
          <w:rFonts w:ascii="Century Gothic" w:hAnsi="Century Gothic" w:cs="Verdana"/>
          <w:spacing w:val="12"/>
          <w:sz w:val="22"/>
          <w:szCs w:val="22"/>
          <w:lang w:val="en-GB"/>
        </w:rPr>
        <w:t>Open discussion on strategies to improve satisfaction levels.</w:t>
      </w:r>
    </w:p>
    <w:p w14:paraId="4435BA4B" w14:textId="77777777" w:rsidR="00924EA5" w:rsidRDefault="00924EA5">
      <w:pPr>
        <w:widowControl w:val="0"/>
        <w:spacing w:line="276" w:lineRule="auto"/>
        <w:rPr>
          <w:rFonts w:ascii="Century Gothic" w:hAnsi="Century Gothic" w:cs="Verdana"/>
          <w:spacing w:val="12"/>
          <w:sz w:val="22"/>
          <w:szCs w:val="22"/>
          <w:lang w:val="en-US"/>
        </w:rPr>
      </w:pPr>
    </w:p>
    <w:p w14:paraId="4435BA4C" w14:textId="77777777" w:rsidR="00924EA5" w:rsidRDefault="00745B78">
      <w:pPr>
        <w:rPr>
          <w:rFonts w:ascii="Century Gothic" w:hAnsi="Century Gothic" w:cs="Verdana"/>
          <w:spacing w:val="12"/>
          <w:sz w:val="22"/>
          <w:szCs w:val="22"/>
          <w:lang w:val="en-US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>13.00   Lunch break</w:t>
      </w:r>
    </w:p>
    <w:p w14:paraId="4435BA4D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</w:p>
    <w:p w14:paraId="4435BA4E" w14:textId="77777777" w:rsidR="00924EA5" w:rsidRDefault="00745B78">
      <w:pPr>
        <w:ind w:left="2160" w:hanging="2160"/>
        <w:rPr>
          <w:rFonts w:ascii="Century Gothic" w:hAnsi="Century Gothic" w:cs="Times New Roman"/>
          <w:spacing w:val="12"/>
          <w:sz w:val="22"/>
          <w:szCs w:val="22"/>
          <w:lang w:val="en-US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>14.15   Welcoming speech:</w:t>
      </w:r>
    </w:p>
    <w:p w14:paraId="4435BA4F" w14:textId="62C1D658" w:rsidR="00924EA5" w:rsidRDefault="00745B78">
      <w:pPr>
        <w:ind w:left="2160" w:hanging="2160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</w:rPr>
        <w:t xml:space="preserve">            </w:t>
      </w: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 xml:space="preserve">Mr. Renato Brunetta, President of the CNEL </w:t>
      </w:r>
    </w:p>
    <w:p w14:paraId="4435BA50" w14:textId="77777777" w:rsidR="00924EA5" w:rsidRDefault="00745B78">
      <w:pPr>
        <w:ind w:left="2160" w:hanging="2160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 xml:space="preserve">            Mrs. Orietta </w:t>
      </w:r>
      <w:proofErr w:type="spellStart"/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Maizza</w:t>
      </w:r>
      <w:proofErr w:type="spellEnd"/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 xml:space="preserve">, Director at </w:t>
      </w:r>
      <w:proofErr w:type="spellStart"/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MiMIT</w:t>
      </w:r>
      <w:proofErr w:type="spellEnd"/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 xml:space="preserve"> </w:t>
      </w:r>
    </w:p>
    <w:p w14:paraId="4435BA51" w14:textId="77777777" w:rsidR="00924EA5" w:rsidRDefault="00745B78">
      <w:pPr>
        <w:ind w:left="2160" w:hanging="2160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</w:rPr>
        <w:t xml:space="preserve">            </w:t>
      </w: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 xml:space="preserve">Mr. Paolo Pirani, Counsel at the Permanent Forum on responsible   </w:t>
      </w:r>
    </w:p>
    <w:p w14:paraId="4435BA52" w14:textId="77777777" w:rsidR="00924EA5" w:rsidRDefault="00745B78">
      <w:pPr>
        <w:ind w:left="2160" w:hanging="2160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 xml:space="preserve">            sustainable consumption’s culture</w:t>
      </w:r>
    </w:p>
    <w:p w14:paraId="4435BA53" w14:textId="77777777" w:rsidR="00924EA5" w:rsidRDefault="00745B78">
      <w:pPr>
        <w:ind w:left="2160" w:hanging="2160"/>
        <w:rPr>
          <w:rFonts w:ascii="Century Gothic" w:hAnsi="Century Gothic" w:cs="Verdana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</w:rPr>
        <w:t xml:space="preserve">            </w:t>
      </w: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 xml:space="preserve">Mr. Carlo De Masi, President of </w:t>
      </w:r>
      <w:proofErr w:type="spellStart"/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Adiconsum</w:t>
      </w:r>
      <w:proofErr w:type="spellEnd"/>
    </w:p>
    <w:p w14:paraId="4435BA54" w14:textId="77777777" w:rsidR="00924EA5" w:rsidRDefault="00924EA5">
      <w:pPr>
        <w:ind w:firstLine="708"/>
        <w:rPr>
          <w:rFonts w:ascii="Century Gothic" w:hAnsi="Century Gothic" w:cs="Verdana"/>
          <w:spacing w:val="12"/>
          <w:sz w:val="22"/>
          <w:szCs w:val="22"/>
          <w:lang w:val="en-GB"/>
        </w:rPr>
      </w:pPr>
    </w:p>
    <w:p w14:paraId="4435BA55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</w:p>
    <w:p w14:paraId="4435BA56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</w:p>
    <w:p w14:paraId="4435BA57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</w:p>
    <w:p w14:paraId="4435BA58" w14:textId="77777777" w:rsidR="00924EA5" w:rsidRDefault="00745B78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 xml:space="preserve">14.30  </w:t>
      </w: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ECC Italy’s Relationship with Italian National Enforcement Bodies (NEBs)</w:t>
      </w:r>
    </w:p>
    <w:p w14:paraId="4435BA59" w14:textId="77777777" w:rsidR="00924EA5" w:rsidRDefault="00745B78">
      <w:pPr>
        <w:numPr>
          <w:ilvl w:val="0"/>
          <w:numId w:val="4"/>
        </w:num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Discussion on the cooperation and coordination with NEBs.</w:t>
      </w:r>
    </w:p>
    <w:p w14:paraId="4435BA5A" w14:textId="77777777" w:rsidR="00924EA5" w:rsidRDefault="00745B78">
      <w:pPr>
        <w:numPr>
          <w:ilvl w:val="0"/>
          <w:numId w:val="4"/>
        </w:num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Strategies to enhance collaboration and effectiveness.</w:t>
      </w:r>
    </w:p>
    <w:p w14:paraId="4435BA5B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</w:p>
    <w:p w14:paraId="4435BA5C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</w:p>
    <w:p w14:paraId="4435BA5D" w14:textId="77777777" w:rsidR="00924EA5" w:rsidRDefault="00745B78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 xml:space="preserve">15.30  ADR in Italy </w:t>
      </w:r>
    </w:p>
    <w:p w14:paraId="4435BA5E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</w:p>
    <w:p w14:paraId="4435BA5F" w14:textId="77777777" w:rsidR="00924EA5" w:rsidRDefault="00745B78">
      <w:pPr>
        <w:numPr>
          <w:ilvl w:val="0"/>
          <w:numId w:val="5"/>
        </w:num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 xml:space="preserve">Overview of the joint conciliation procedures and the Italian ADR scheme within the consumer ADR </w:t>
      </w: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landscape.</w:t>
      </w:r>
    </w:p>
    <w:p w14:paraId="4435BA60" w14:textId="77777777" w:rsidR="00924EA5" w:rsidRDefault="00745B78">
      <w:pPr>
        <w:numPr>
          <w:ilvl w:val="0"/>
          <w:numId w:val="5"/>
        </w:num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ADR in the transport sector: focus on the conciliation service within the Transport Regulation Authority.</w:t>
      </w:r>
    </w:p>
    <w:p w14:paraId="4435BA61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</w:p>
    <w:p w14:paraId="4435BA62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</w:p>
    <w:p w14:paraId="4435BA63" w14:textId="77777777" w:rsidR="00924EA5" w:rsidRDefault="00745B78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>Day 2</w:t>
      </w:r>
    </w:p>
    <w:p w14:paraId="4435BA64" w14:textId="77777777" w:rsidR="00924EA5" w:rsidRDefault="00924EA5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</w:p>
    <w:p w14:paraId="4435BA65" w14:textId="77777777" w:rsidR="00924EA5" w:rsidRDefault="00745B78">
      <w:pPr>
        <w:ind w:left="2160" w:hanging="2160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 xml:space="preserve">9.30    </w:t>
      </w: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ECC Italy Marketing and Communications</w:t>
      </w:r>
    </w:p>
    <w:p w14:paraId="4435BA66" w14:textId="77777777" w:rsidR="00924EA5" w:rsidRDefault="00745B78">
      <w:pPr>
        <w:numPr>
          <w:ilvl w:val="0"/>
          <w:numId w:val="6"/>
        </w:numPr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Overview of press and media strategies.</w:t>
      </w:r>
    </w:p>
    <w:p w14:paraId="4435BA67" w14:textId="77777777" w:rsidR="00924EA5" w:rsidRDefault="00745B78">
      <w:pPr>
        <w:numPr>
          <w:ilvl w:val="0"/>
          <w:numId w:val="6"/>
        </w:numPr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Discussion on social media presence and engagement.</w:t>
      </w:r>
    </w:p>
    <w:p w14:paraId="4435BA68" w14:textId="77777777" w:rsidR="00924EA5" w:rsidRDefault="00745B78">
      <w:pPr>
        <w:numPr>
          <w:ilvl w:val="0"/>
          <w:numId w:val="6"/>
        </w:numPr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Review of promotional materials and marketing efforts.</w:t>
      </w:r>
    </w:p>
    <w:p w14:paraId="4435BA69" w14:textId="77777777" w:rsidR="00924EA5" w:rsidRDefault="00924EA5">
      <w:pPr>
        <w:ind w:left="2160" w:hanging="2160"/>
        <w:rPr>
          <w:rFonts w:ascii="Century Gothic" w:hAnsi="Century Gothic" w:cs="Verdana"/>
          <w:spacing w:val="12"/>
          <w:sz w:val="22"/>
          <w:szCs w:val="22"/>
          <w:lang w:val="en-US"/>
        </w:rPr>
      </w:pPr>
    </w:p>
    <w:p w14:paraId="4435BA6A" w14:textId="77777777" w:rsidR="00924EA5" w:rsidRDefault="00745B78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>10.15  Social Media Hub</w:t>
      </w:r>
    </w:p>
    <w:p w14:paraId="4435BA6B" w14:textId="77777777" w:rsidR="00924EA5" w:rsidRDefault="00745B78">
      <w:pPr>
        <w:pStyle w:val="Paragrafoelenco"/>
        <w:numPr>
          <w:ilvl w:val="0"/>
          <w:numId w:val="6"/>
        </w:num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Deep dive into ECC Italy’s EUDA project</w:t>
      </w:r>
    </w:p>
    <w:p w14:paraId="4435BA6C" w14:textId="77777777" w:rsidR="00924EA5" w:rsidRDefault="00745B78">
      <w:pPr>
        <w:pStyle w:val="Paragrafoelenco"/>
        <w:numPr>
          <w:ilvl w:val="0"/>
          <w:numId w:val="6"/>
        </w:numPr>
        <w:spacing w:line="276" w:lineRule="auto"/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Interactive session on content creation and community engagement</w:t>
      </w:r>
    </w:p>
    <w:p w14:paraId="4435BA6D" w14:textId="77777777" w:rsidR="00924EA5" w:rsidRDefault="00745B78">
      <w:pPr>
        <w:pStyle w:val="Paragrafoelenco"/>
        <w:numPr>
          <w:ilvl w:val="0"/>
          <w:numId w:val="6"/>
        </w:num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GB"/>
        </w:rPr>
      </w:pP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1-on-1 session for interested ECCs on specific topics of interest.</w:t>
      </w:r>
    </w:p>
    <w:p w14:paraId="4435BA6E" w14:textId="77777777" w:rsidR="00924EA5" w:rsidRDefault="00745B78">
      <w:pPr>
        <w:spacing w:line="276" w:lineRule="auto"/>
        <w:rPr>
          <w:rFonts w:ascii="Century Gothic" w:hAnsi="Century Gothic" w:cs="Times New Roman"/>
          <w:spacing w:val="12"/>
          <w:sz w:val="22"/>
          <w:szCs w:val="22"/>
          <w:lang w:val="en-US"/>
        </w:rPr>
      </w:pPr>
      <w:r>
        <w:rPr>
          <w:rFonts w:ascii="Century Gothic" w:hAnsi="Century Gothic" w:cs="Times New Roman"/>
          <w:noProof/>
          <w:spacing w:val="12"/>
          <w:sz w:val="22"/>
          <w:szCs w:val="22"/>
          <w:lang w:val="en-US"/>
        </w:rPr>
        <w:drawing>
          <wp:anchor distT="0" distB="0" distL="114300" distR="114300" simplePos="0" relativeHeight="5" behindDoc="1" locked="0" layoutInCell="1" allowOverlap="1" wp14:anchorId="4435BA72" wp14:editId="4435BA73">
            <wp:simplePos x="0" y="0"/>
            <wp:positionH relativeFrom="column">
              <wp:posOffset>-967740</wp:posOffset>
            </wp:positionH>
            <wp:positionV relativeFrom="paragraph">
              <wp:posOffset>186055</wp:posOffset>
            </wp:positionV>
            <wp:extent cx="7560310" cy="6631940"/>
            <wp:effectExtent l="0" t="0" r="0" b="0"/>
            <wp:wrapNone/>
            <wp:docPr id="2" name="Immagine 2" descr="Immagine che contiene testo, grafica vettoriale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grafica vettoriale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663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5BA6F" w14:textId="77777777" w:rsidR="00924EA5" w:rsidRDefault="00745B78">
      <w:pPr>
        <w:spacing w:line="276" w:lineRule="auto"/>
      </w:pPr>
      <w:r>
        <w:rPr>
          <w:rFonts w:ascii="Century Gothic" w:hAnsi="Century Gothic" w:cs="Times New Roman"/>
          <w:spacing w:val="12"/>
          <w:sz w:val="22"/>
          <w:szCs w:val="22"/>
          <w:lang w:val="en-US"/>
        </w:rPr>
        <w:t xml:space="preserve">12.30  </w:t>
      </w:r>
      <w:r>
        <w:rPr>
          <w:rFonts w:ascii="Century Gothic" w:hAnsi="Century Gothic" w:cs="Times New Roman"/>
          <w:spacing w:val="12"/>
          <w:sz w:val="22"/>
          <w:szCs w:val="22"/>
          <w:lang w:val="en-GB"/>
        </w:rPr>
        <w:t>Summary of the key insights and discussions from the study visit.</w:t>
      </w:r>
    </w:p>
    <w:sectPr w:rsidR="00924EA5">
      <w:headerReference w:type="default" r:id="rId9"/>
      <w:pgSz w:w="11906" w:h="16838"/>
      <w:pgMar w:top="1418" w:right="1134" w:bottom="1134" w:left="1134" w:header="10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5BA7C" w14:textId="77777777" w:rsidR="00745B78" w:rsidRDefault="00745B78">
      <w:r>
        <w:separator/>
      </w:r>
    </w:p>
  </w:endnote>
  <w:endnote w:type="continuationSeparator" w:id="0">
    <w:p w14:paraId="4435BA7E" w14:textId="77777777" w:rsidR="00745B78" w:rsidRDefault="0074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5BA78" w14:textId="77777777" w:rsidR="00745B78" w:rsidRDefault="00745B78">
      <w:r>
        <w:separator/>
      </w:r>
    </w:p>
  </w:footnote>
  <w:footnote w:type="continuationSeparator" w:id="0">
    <w:p w14:paraId="4435BA7A" w14:textId="77777777" w:rsidR="00745B78" w:rsidRDefault="0074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438" w:type="dxa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4"/>
      <w:gridCol w:w="4534"/>
    </w:tblGrid>
    <w:tr w:rsidR="00924EA5" w14:paraId="4435BA76" w14:textId="77777777">
      <w:trPr>
        <w:trHeight w:val="2034"/>
        <w:jc w:val="right"/>
      </w:trPr>
      <w:tc>
        <w:tcPr>
          <w:tcW w:w="2904" w:type="dxa"/>
          <w:shd w:val="clear" w:color="auto" w:fill="auto"/>
          <w:vAlign w:val="center"/>
        </w:tcPr>
        <w:p w14:paraId="4435BA74" w14:textId="77777777" w:rsidR="00924EA5" w:rsidRDefault="00924EA5">
          <w:pPr>
            <w:pStyle w:val="Intestazione"/>
            <w:jc w:val="both"/>
          </w:pPr>
        </w:p>
      </w:tc>
      <w:tc>
        <w:tcPr>
          <w:tcW w:w="4533" w:type="dxa"/>
          <w:shd w:val="clear" w:color="auto" w:fill="auto"/>
          <w:vAlign w:val="center"/>
        </w:tcPr>
        <w:p w14:paraId="4435BA75" w14:textId="77777777" w:rsidR="00924EA5" w:rsidRDefault="00745B78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3" behindDoc="1" locked="0" layoutInCell="1" allowOverlap="1" wp14:anchorId="4435BA78" wp14:editId="4435BA79">
                <wp:simplePos x="0" y="0"/>
                <wp:positionH relativeFrom="column">
                  <wp:posOffset>1186180</wp:posOffset>
                </wp:positionH>
                <wp:positionV relativeFrom="paragraph">
                  <wp:posOffset>-815340</wp:posOffset>
                </wp:positionV>
                <wp:extent cx="2789555" cy="878205"/>
                <wp:effectExtent l="0" t="0" r="0" b="0"/>
                <wp:wrapSquare wrapText="largest"/>
                <wp:docPr id="3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9555" cy="878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435BA77" w14:textId="77777777" w:rsidR="00924EA5" w:rsidRDefault="00924E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91E61"/>
    <w:multiLevelType w:val="multilevel"/>
    <w:tmpl w:val="5B0C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6AC1585"/>
    <w:multiLevelType w:val="multilevel"/>
    <w:tmpl w:val="689A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7CC418B"/>
    <w:multiLevelType w:val="multilevel"/>
    <w:tmpl w:val="706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AE64C3E"/>
    <w:multiLevelType w:val="multilevel"/>
    <w:tmpl w:val="47A8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7907E97"/>
    <w:multiLevelType w:val="multilevel"/>
    <w:tmpl w:val="5C9A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ADA29C0"/>
    <w:multiLevelType w:val="multilevel"/>
    <w:tmpl w:val="E0328A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C336C22"/>
    <w:multiLevelType w:val="multilevel"/>
    <w:tmpl w:val="352E6EB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num w:numId="1" w16cid:durableId="1544559238">
    <w:abstractNumId w:val="6"/>
  </w:num>
  <w:num w:numId="2" w16cid:durableId="138766321">
    <w:abstractNumId w:val="3"/>
  </w:num>
  <w:num w:numId="3" w16cid:durableId="123356466">
    <w:abstractNumId w:val="4"/>
  </w:num>
  <w:num w:numId="4" w16cid:durableId="1983658428">
    <w:abstractNumId w:val="0"/>
  </w:num>
  <w:num w:numId="5" w16cid:durableId="702557450">
    <w:abstractNumId w:val="1"/>
  </w:num>
  <w:num w:numId="6" w16cid:durableId="749469872">
    <w:abstractNumId w:val="2"/>
  </w:num>
  <w:num w:numId="7" w16cid:durableId="1940717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A5"/>
    <w:rsid w:val="00745B78"/>
    <w:rsid w:val="00880334"/>
    <w:rsid w:val="0092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BA30"/>
  <w15:docId w15:val="{4CA49444-7F75-499B-A774-2ED5FE85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01D5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01D5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80F1E"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Yu Mincho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Verdan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Calibri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Century Gothic" w:hAnsi="Century Gothic"/>
      <w:sz w:val="22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rFonts w:ascii="Century Gothic" w:hAnsi="Century Gothic"/>
      <w:sz w:val="22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rFonts w:ascii="Century Gothic" w:hAnsi="Century Gothic"/>
      <w:sz w:val="22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rFonts w:ascii="Century Gothic" w:hAnsi="Century Gothic"/>
      <w:sz w:val="22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rFonts w:ascii="Century Gothic" w:hAnsi="Century Gothic"/>
      <w:sz w:val="22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Intestazione">
    <w:name w:val="header"/>
    <w:basedOn w:val="Normale"/>
    <w:link w:val="IntestazioneCarattere"/>
    <w:uiPriority w:val="99"/>
    <w:unhideWhenUsed/>
    <w:rsid w:val="00701D5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01D5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A19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80F1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qFormat/>
    <w:rsid w:val="00D50491"/>
    <w:pPr>
      <w:widowControl w:val="0"/>
    </w:pPr>
    <w:rPr>
      <w:rFonts w:ascii="Times New Roman" w:eastAsia="Calibri" w:hAnsi="Times New Roman" w:cs="Times New Roman"/>
      <w:color w:val="000000"/>
    </w:rPr>
  </w:style>
  <w:style w:type="paragraph" w:styleId="NormaleWeb">
    <w:name w:val="Normal (Web)"/>
    <w:basedOn w:val="Normale"/>
    <w:uiPriority w:val="99"/>
    <w:semiHidden/>
    <w:unhideWhenUsed/>
    <w:qFormat/>
    <w:rsid w:val="00654042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C3FD03-FE82-7F43-8FDA-CD9695B5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Sardelli</dc:creator>
  <dc:description/>
  <cp:lastModifiedBy>Battaglia Pietro</cp:lastModifiedBy>
  <cp:revision>12</cp:revision>
  <cp:lastPrinted>2019-01-15T13:49:00Z</cp:lastPrinted>
  <dcterms:created xsi:type="dcterms:W3CDTF">2024-08-26T19:51:00Z</dcterms:created>
  <dcterms:modified xsi:type="dcterms:W3CDTF">2024-09-04T13:09:00Z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